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DE83922" w14:textId="77777777" w:rsidR="00782373" w:rsidRDefault="00782373" w:rsidP="00782373">
      <w:pPr>
        <w:pStyle w:val="Bezmezer"/>
        <w:jc w:val="both"/>
        <w:rPr>
          <w:rFonts w:ascii="Arial" w:hAnsi="Arial" w:cs="Arial"/>
          <w:b/>
        </w:rPr>
      </w:pPr>
      <w:r>
        <w:rPr>
          <w:rFonts w:ascii="Arial" w:hAnsi="Arial" w:cs="Arial"/>
          <w:b/>
        </w:rPr>
        <w:t>Nemocnice Havlíčkův Brod, příspěvková organizace</w:t>
      </w:r>
    </w:p>
    <w:p w14:paraId="70E4803A" w14:textId="77777777" w:rsidR="00782373" w:rsidRDefault="00782373" w:rsidP="00782373">
      <w:pPr>
        <w:pStyle w:val="Bezmezer"/>
        <w:jc w:val="both"/>
        <w:rPr>
          <w:rFonts w:ascii="Arial" w:hAnsi="Arial" w:cs="Arial"/>
          <w:b/>
        </w:rPr>
      </w:pPr>
      <w:r>
        <w:rPr>
          <w:rFonts w:ascii="Arial" w:hAnsi="Arial" w:cs="Arial"/>
        </w:rPr>
        <w:t xml:space="preserve">zapsaná v obchodním rejstříku vedeném u Krajského soudu v Hradci Králové, </w:t>
      </w:r>
      <w:proofErr w:type="spellStart"/>
      <w:r>
        <w:rPr>
          <w:rFonts w:ascii="Arial" w:hAnsi="Arial" w:cs="Arial"/>
        </w:rPr>
        <w:t>sp</w:t>
      </w:r>
      <w:proofErr w:type="spellEnd"/>
      <w:r>
        <w:rPr>
          <w:rFonts w:ascii="Arial" w:hAnsi="Arial" w:cs="Arial"/>
        </w:rPr>
        <w:t xml:space="preserve">. zn. </w:t>
      </w:r>
      <w:proofErr w:type="spellStart"/>
      <w:r>
        <w:rPr>
          <w:rFonts w:ascii="Arial" w:hAnsi="Arial" w:cs="Arial"/>
        </w:rPr>
        <w:t>Pr</w:t>
      </w:r>
      <w:proofErr w:type="spellEnd"/>
      <w:r>
        <w:rPr>
          <w:rFonts w:ascii="Arial" w:hAnsi="Arial" w:cs="Arial"/>
        </w:rPr>
        <w:t xml:space="preserve"> 876</w:t>
      </w:r>
    </w:p>
    <w:p w14:paraId="091817BA" w14:textId="77777777" w:rsidR="00782373" w:rsidRPr="00765B94" w:rsidRDefault="00782373" w:rsidP="00782373">
      <w:pPr>
        <w:pStyle w:val="Bezmezer"/>
        <w:jc w:val="both"/>
        <w:rPr>
          <w:rFonts w:ascii="Arial" w:hAnsi="Arial" w:cs="Arial"/>
        </w:rPr>
      </w:pPr>
      <w:r w:rsidRPr="00765B94">
        <w:rPr>
          <w:rFonts w:ascii="Arial" w:hAnsi="Arial" w:cs="Arial"/>
        </w:rPr>
        <w:t xml:space="preserve">IČO: </w:t>
      </w:r>
      <w:r w:rsidRPr="00765B94">
        <w:rPr>
          <w:rFonts w:ascii="Arial" w:eastAsia="Times New Roman" w:hAnsi="Arial" w:cs="Arial"/>
        </w:rPr>
        <w:t>00179540</w:t>
      </w:r>
    </w:p>
    <w:p w14:paraId="7C52E859" w14:textId="77777777" w:rsidR="00782373" w:rsidRPr="00E75D68" w:rsidRDefault="00782373" w:rsidP="00782373">
      <w:pPr>
        <w:pStyle w:val="Bezmezer"/>
        <w:jc w:val="both"/>
        <w:rPr>
          <w:rFonts w:ascii="Arial" w:hAnsi="Arial" w:cs="Arial"/>
          <w:b/>
        </w:rPr>
      </w:pPr>
      <w:r>
        <w:rPr>
          <w:rFonts w:ascii="Arial" w:hAnsi="Arial" w:cs="Arial"/>
        </w:rPr>
        <w:t xml:space="preserve">ID datové </w:t>
      </w:r>
      <w:r w:rsidRPr="008A5CB0">
        <w:rPr>
          <w:rFonts w:ascii="Arial" w:hAnsi="Arial" w:cs="Arial"/>
        </w:rPr>
        <w:t>schránky</w:t>
      </w:r>
      <w:r w:rsidRPr="008A5CB0">
        <w:rPr>
          <w:rFonts w:ascii="Arial" w:hAnsi="Arial" w:cs="Arial"/>
          <w:b/>
        </w:rPr>
        <w:t>:</w:t>
      </w:r>
      <w:r w:rsidRPr="008A5CB0">
        <w:rPr>
          <w:rFonts w:ascii="Arial" w:hAnsi="Arial" w:cs="Arial"/>
        </w:rPr>
        <w:t xml:space="preserve"> </w:t>
      </w:r>
      <w:r w:rsidRPr="008A5CB0">
        <w:rPr>
          <w:rStyle w:val="Siln"/>
          <w:rFonts w:ascii="Arial" w:hAnsi="Arial" w:cs="Arial"/>
          <w:b w:val="0"/>
          <w:bCs w:val="0"/>
          <w:bdr w:val="none" w:sz="0" w:space="0" w:color="auto" w:frame="1"/>
          <w:shd w:val="clear" w:color="auto" w:fill="FFFFFF"/>
        </w:rPr>
        <w:t>aewk6jc</w:t>
      </w:r>
    </w:p>
    <w:p w14:paraId="13A89DDD" w14:textId="77777777" w:rsidR="00782373" w:rsidRDefault="00782373" w:rsidP="00782373">
      <w:pPr>
        <w:pStyle w:val="Bezmezer"/>
        <w:jc w:val="both"/>
        <w:rPr>
          <w:rFonts w:ascii="Arial" w:hAnsi="Arial" w:cs="Arial"/>
        </w:rPr>
      </w:pPr>
      <w:r>
        <w:rPr>
          <w:rFonts w:ascii="Arial" w:hAnsi="Arial" w:cs="Arial"/>
        </w:rPr>
        <w:t>se sídlem: Husova 2624, 580 01 Havlíčkův Brod</w:t>
      </w:r>
    </w:p>
    <w:p w14:paraId="46BCE0C1" w14:textId="77777777" w:rsidR="00782373" w:rsidRDefault="00782373" w:rsidP="00782373">
      <w:pPr>
        <w:pStyle w:val="Bezmezer"/>
        <w:rPr>
          <w:rFonts w:ascii="Arial" w:hAnsi="Arial" w:cs="Arial"/>
        </w:rPr>
      </w:pPr>
      <w:r>
        <w:rPr>
          <w:rFonts w:ascii="Arial" w:hAnsi="Arial" w:cs="Arial"/>
        </w:rPr>
        <w:t xml:space="preserve">zastoupený: Mgr. David </w:t>
      </w:r>
      <w:proofErr w:type="spellStart"/>
      <w:r>
        <w:rPr>
          <w:rFonts w:ascii="Arial" w:hAnsi="Arial" w:cs="Arial"/>
        </w:rPr>
        <w:t>Rezničenko</w:t>
      </w:r>
      <w:proofErr w:type="spellEnd"/>
      <w:r>
        <w:rPr>
          <w:rFonts w:ascii="Arial" w:hAnsi="Arial" w:cs="Arial"/>
        </w:rPr>
        <w:t>, MHA, ředitel</w:t>
      </w:r>
    </w:p>
    <w:p w14:paraId="5707322A" w14:textId="77777777" w:rsidR="00782373" w:rsidRDefault="00782373" w:rsidP="00782373">
      <w:pPr>
        <w:rPr>
          <w:rFonts w:ascii="Arial" w:hAnsi="Arial" w:cs="Arial"/>
        </w:rPr>
      </w:pPr>
      <w:r>
        <w:rPr>
          <w:rFonts w:ascii="Arial" w:hAnsi="Arial" w:cs="Arial"/>
        </w:rPr>
        <w:t xml:space="preserve">kontaktní osoba: Jan Převrátil, tel. +420 736 458 831, </w:t>
      </w:r>
      <w:r w:rsidRPr="003C0146">
        <w:rPr>
          <w:rFonts w:ascii="Arial" w:hAnsi="Arial" w:cs="Arial"/>
        </w:rPr>
        <w:t>jan.prevratil@onhb.cz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r>
        <w:rPr>
          <w:rFonts w:ascii="Arial" w:hAnsi="Arial" w:cs="Arial"/>
        </w:rPr>
        <w:t>B11012</w:t>
      </w:r>
    </w:p>
    <w:p w14:paraId="20AF05BB" w14:textId="4FE8C114"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609AF512"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Gruss, jiri.gruss@aricoma.com, +420 606 781</w:t>
      </w:r>
      <w:r w:rsidR="008A5CB0">
        <w:rPr>
          <w:rFonts w:ascii="Arial" w:hAnsi="Arial" w:cs="Arial"/>
        </w:rPr>
        <w:t> </w:t>
      </w:r>
      <w:r>
        <w:rPr>
          <w:rFonts w:ascii="Arial" w:hAnsi="Arial" w:cs="Arial"/>
        </w:rPr>
        <w:t>698</w:t>
      </w:r>
    </w:p>
    <w:p w14:paraId="4A902E59" w14:textId="77777777" w:rsidR="008A5CB0" w:rsidRDefault="008A5CB0" w:rsidP="008D749E">
      <w:pPr>
        <w:spacing w:after="0" w:line="276" w:lineRule="auto"/>
        <w:jc w:val="both"/>
        <w:rPr>
          <w:rFonts w:ascii="Arial" w:hAnsi="Arial" w:cs="Arial"/>
        </w:rPr>
      </w:pPr>
    </w:p>
    <w:p w14:paraId="0A6DAF85" w14:textId="33B8909A"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1E4AF68E" w14:textId="6ED937BE" w:rsidR="003A0FA1" w:rsidRPr="00782373" w:rsidRDefault="00C72FB8" w:rsidP="00BC3E2D">
      <w:pPr>
        <w:pStyle w:val="Odstavecseseznamem"/>
        <w:numPr>
          <w:ilvl w:val="1"/>
          <w:numId w:val="1"/>
        </w:numPr>
        <w:spacing w:after="0" w:line="276" w:lineRule="auto"/>
        <w:ind w:left="567" w:hanging="567"/>
        <w:jc w:val="both"/>
        <w:rPr>
          <w:rFonts w:ascii="Arial" w:hAnsi="Arial" w:cs="Arial"/>
          <w:color w:val="000000" w:themeColor="text1"/>
        </w:rPr>
      </w:pPr>
      <w:r w:rsidRPr="00782373">
        <w:rPr>
          <w:rFonts w:ascii="Arial" w:hAnsi="Arial" w:cs="Arial"/>
          <w:color w:val="000000" w:themeColor="text1"/>
        </w:rPr>
        <w:t>Smluvní strany berou na vědomí, že Kupující hodlá předmět Smlouvy financovat z dotačních prostředků strukturálních fondů Evropské unie.</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lastRenderedPageBreak/>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362436BE"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782373">
        <w:rPr>
          <w:rFonts w:ascii="Arial" w:hAnsi="Arial" w:cs="Arial"/>
        </w:rPr>
        <w:t>činí</w:t>
      </w:r>
      <w:bookmarkEnd w:id="1"/>
      <w:r w:rsidRPr="00782373">
        <w:rPr>
          <w:rFonts w:ascii="Arial" w:hAnsi="Arial" w:cs="Arial"/>
        </w:rPr>
        <w:t xml:space="preserve"> </w:t>
      </w:r>
      <w:r w:rsidR="00405E07" w:rsidRPr="00782373">
        <w:rPr>
          <w:rFonts w:ascii="Arial" w:hAnsi="Arial" w:cs="Arial"/>
        </w:rPr>
        <w:t>60</w:t>
      </w:r>
      <w:r w:rsidRPr="00782373">
        <w:rPr>
          <w:rFonts w:ascii="Arial" w:hAnsi="Arial" w:cs="Arial"/>
        </w:rPr>
        <w:t xml:space="preserve"> </w:t>
      </w:r>
      <w:r w:rsidR="00C872AA" w:rsidRPr="00782373">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1833F6C9"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782373">
        <w:rPr>
          <w:rFonts w:ascii="Arial" w:hAnsi="Arial" w:cs="Arial"/>
        </w:rPr>
        <w:t>Husova 2624, 580 01 Havlíčkův Brod</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lastRenderedPageBreak/>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lastRenderedPageBreak/>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předání dodacího listu spolu s </w:t>
      </w:r>
      <w:proofErr w:type="gramStart"/>
      <w:r w:rsidR="00716A39">
        <w:rPr>
          <w:rFonts w:ascii="Arial" w:hAnsi="Arial" w:cs="Arial"/>
        </w:rPr>
        <w:t>Věcmi</w:t>
      </w:r>
      <w:proofErr w:type="gramEnd"/>
      <w:r w:rsidR="00716A39">
        <w:rPr>
          <w:rFonts w:ascii="Arial" w:hAnsi="Arial" w:cs="Arial"/>
        </w:rPr>
        <w:t xml:space="preserve">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w:t>
      </w:r>
      <w:proofErr w:type="gramStart"/>
      <w:r w:rsidRPr="00A35763">
        <w:rPr>
          <w:rFonts w:ascii="Arial" w:hAnsi="Arial" w:cs="Arial"/>
        </w:rPr>
        <w:t xml:space="preserve">potvrzených </w:t>
      </w:r>
      <w:r w:rsidR="00545C48" w:rsidRPr="00A35763">
        <w:rPr>
          <w:rFonts w:ascii="Arial" w:hAnsi="Arial" w:cs="Arial"/>
        </w:rPr>
        <w:t>Kupujícím</w:t>
      </w:r>
      <w:proofErr w:type="gramEnd"/>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w:t>
      </w:r>
      <w:r w:rsidRPr="00A35763">
        <w:rPr>
          <w:rFonts w:ascii="Arial" w:hAnsi="Arial" w:cs="Arial"/>
        </w:rPr>
        <w:lastRenderedPageBreak/>
        <w:t xml:space="preserve">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6888084" w14:textId="77777777" w:rsidR="000C5DB8" w:rsidRPr="000C5DB8" w:rsidRDefault="00170BCC" w:rsidP="00580183">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23958E0B" w14:textId="77777777" w:rsidR="00782373" w:rsidRPr="003C0146" w:rsidRDefault="00580183" w:rsidP="00782373">
      <w:pPr>
        <w:pStyle w:val="Odstavecseseznamem"/>
        <w:numPr>
          <w:ilvl w:val="1"/>
          <w:numId w:val="14"/>
        </w:numPr>
        <w:spacing w:after="0" w:line="276" w:lineRule="auto"/>
        <w:ind w:left="567" w:hanging="567"/>
        <w:jc w:val="both"/>
        <w:rPr>
          <w:rFonts w:ascii="Arial" w:hAnsi="Arial" w:cs="Arial"/>
          <w:color w:val="000000" w:themeColor="text1"/>
        </w:rPr>
      </w:pPr>
      <w:r w:rsidRPr="00782373">
        <w:rPr>
          <w:rFonts w:ascii="Arial" w:hAnsi="Arial" w:cs="Arial"/>
          <w:color w:val="000000" w:themeColor="text1"/>
        </w:rPr>
        <w:t>Daňový doklad bude obsahovat název a číslo projektu</w:t>
      </w:r>
      <w:r w:rsidR="00782373">
        <w:rPr>
          <w:rFonts w:ascii="Arial" w:hAnsi="Arial" w:cs="Arial"/>
          <w:color w:val="000000" w:themeColor="text1"/>
        </w:rPr>
        <w:t xml:space="preserve">: </w:t>
      </w:r>
      <w:r w:rsidR="00782373" w:rsidRPr="005B78F8">
        <w:rPr>
          <w:rFonts w:ascii="Arial" w:hAnsi="Arial" w:cs="Arial"/>
          <w:b/>
        </w:rPr>
        <w:t>Kybernetická bezpečnost</w:t>
      </w:r>
    </w:p>
    <w:p w14:paraId="126C6F0E" w14:textId="36CA0AA6" w:rsidR="00580183" w:rsidRPr="00782373" w:rsidRDefault="00782373" w:rsidP="00782373">
      <w:pPr>
        <w:pStyle w:val="Odstavecseseznamem"/>
        <w:spacing w:after="0" w:line="276" w:lineRule="auto"/>
        <w:ind w:left="567"/>
        <w:jc w:val="both"/>
        <w:rPr>
          <w:rFonts w:ascii="Arial" w:hAnsi="Arial" w:cs="Arial"/>
          <w:color w:val="000000" w:themeColor="text1"/>
        </w:rPr>
      </w:pPr>
      <w:r w:rsidRPr="005B78F8">
        <w:rPr>
          <w:rFonts w:ascii="Arial" w:hAnsi="Arial" w:cs="Arial"/>
          <w:b/>
        </w:rPr>
        <w:t xml:space="preserve">Nemocnice Havlíčkův Brod, </w:t>
      </w:r>
      <w:r w:rsidRPr="005B78F8">
        <w:rPr>
          <w:rFonts w:ascii="Arial" w:hAnsi="Arial" w:cs="Arial"/>
          <w:b/>
          <w:color w:val="000000"/>
          <w:shd w:val="clear" w:color="auto" w:fill="FFFFFF"/>
        </w:rPr>
        <w:t>CZ.06.01.01/00/22_004/0000221</w:t>
      </w:r>
      <w:r>
        <w:rPr>
          <w:rFonts w:ascii="Arial" w:hAnsi="Arial" w:cs="Arial"/>
          <w:b/>
          <w:color w:val="000000"/>
          <w:shd w:val="clear" w:color="auto" w:fill="FFFFFF"/>
        </w:rPr>
        <w:t>.</w:t>
      </w:r>
    </w:p>
    <w:p w14:paraId="72EBA13F" w14:textId="77777777" w:rsidR="00B23E8A" w:rsidRPr="00580183" w:rsidRDefault="00B23E8A" w:rsidP="000C5DB8">
      <w:pPr>
        <w:pStyle w:val="Odstavecseseznamem"/>
        <w:spacing w:after="0" w:line="276" w:lineRule="auto"/>
        <w:ind w:left="360"/>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Default="00365347" w:rsidP="00965E45">
      <w:pPr>
        <w:spacing w:after="0" w:line="276" w:lineRule="auto"/>
        <w:jc w:val="both"/>
        <w:rPr>
          <w:rFonts w:ascii="Arial" w:hAnsi="Arial" w:cs="Arial"/>
        </w:rPr>
      </w:pPr>
    </w:p>
    <w:p w14:paraId="335BA0A7" w14:textId="77777777" w:rsidR="00782373" w:rsidRDefault="00782373" w:rsidP="00965E45">
      <w:pPr>
        <w:spacing w:after="0" w:line="276" w:lineRule="auto"/>
        <w:jc w:val="both"/>
        <w:rPr>
          <w:rFonts w:ascii="Arial" w:hAnsi="Arial" w:cs="Arial"/>
        </w:rPr>
      </w:pPr>
    </w:p>
    <w:p w14:paraId="6C8CF90E" w14:textId="77777777" w:rsidR="00782373" w:rsidRPr="00A35763" w:rsidRDefault="00782373"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lastRenderedPageBreak/>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w:t>
      </w:r>
      <w:proofErr w:type="gramStart"/>
      <w:r w:rsidRPr="00790736">
        <w:rPr>
          <w:rFonts w:ascii="Arial" w:hAnsi="Arial" w:cs="Arial"/>
        </w:rPr>
        <w:t>vadu</w:t>
      </w:r>
      <w:proofErr w:type="gramEnd"/>
      <w:r w:rsidRPr="00790736">
        <w:rPr>
          <w:rFonts w:ascii="Arial" w:hAnsi="Arial" w:cs="Arial"/>
        </w:rPr>
        <w:t xml:space="preserve">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lastRenderedPageBreak/>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lastRenderedPageBreak/>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w:t>
      </w:r>
      <w:proofErr w:type="gramStart"/>
      <w:r w:rsidRPr="00A35763">
        <w:rPr>
          <w:rFonts w:ascii="Arial" w:hAnsi="Arial" w:cs="Arial"/>
        </w:rPr>
        <w:t>0,05%</w:t>
      </w:r>
      <w:proofErr w:type="gramEnd"/>
      <w:r w:rsidRPr="00A35763">
        <w:rPr>
          <w:rFonts w:ascii="Arial" w:hAnsi="Arial" w:cs="Arial"/>
        </w:rPr>
        <w:t xml:space="preserve">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w:t>
      </w:r>
      <w:proofErr w:type="gramStart"/>
      <w:r w:rsidRPr="00A35763">
        <w:rPr>
          <w:rFonts w:ascii="Arial" w:hAnsi="Arial" w:cs="Arial"/>
        </w:rPr>
        <w:t>jinak</w:t>
      </w:r>
      <w:proofErr w:type="gramEnd"/>
      <w:r w:rsidRPr="00A35763">
        <w:rPr>
          <w:rFonts w:ascii="Arial" w:hAnsi="Arial" w:cs="Arial"/>
        </w:rPr>
        <w:t xml:space="preserve">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BF97D93" w14:textId="46E693C8" w:rsidR="006D664D" w:rsidRPr="00782373" w:rsidRDefault="006D664D" w:rsidP="00793DD8">
      <w:pPr>
        <w:pStyle w:val="Odstavecseseznamem"/>
        <w:numPr>
          <w:ilvl w:val="1"/>
          <w:numId w:val="24"/>
        </w:numPr>
        <w:spacing w:after="0" w:line="276" w:lineRule="auto"/>
        <w:ind w:left="567" w:hanging="567"/>
        <w:jc w:val="both"/>
        <w:rPr>
          <w:rFonts w:ascii="Arial" w:hAnsi="Arial" w:cs="Arial"/>
        </w:rPr>
      </w:pPr>
      <w:bookmarkStart w:id="13" w:name="_Ref461540105"/>
      <w:r w:rsidRPr="00782373">
        <w:rPr>
          <w:rFonts w:ascii="Arial" w:hAnsi="Arial" w:cs="Arial"/>
        </w:rPr>
        <w:t>Prodávající je povinen archivovat do konce roku 2035 veškerou dokumentaci související s plněním ze Smlouvy včetně účetních dokladů a kdykoli po tuto dobu umožnit Kupujícímu přístup k této dokumentaci.</w:t>
      </w:r>
      <w:bookmarkEnd w:id="13"/>
    </w:p>
    <w:p w14:paraId="0358E824" w14:textId="66F79E5A" w:rsidR="006D664D" w:rsidRPr="00782373" w:rsidRDefault="006D664D" w:rsidP="00793DD8">
      <w:pPr>
        <w:pStyle w:val="Odstavecseseznamem"/>
        <w:numPr>
          <w:ilvl w:val="1"/>
          <w:numId w:val="24"/>
        </w:numPr>
        <w:spacing w:after="0" w:line="276" w:lineRule="auto"/>
        <w:ind w:left="567" w:hanging="567"/>
        <w:jc w:val="both"/>
        <w:rPr>
          <w:rFonts w:ascii="Arial" w:hAnsi="Arial" w:cs="Arial"/>
        </w:rPr>
      </w:pPr>
      <w:r w:rsidRPr="00782373">
        <w:rPr>
          <w:rFonts w:ascii="Arial" w:hAnsi="Arial" w:cs="Arial"/>
        </w:rPr>
        <w:t>Prodávající je povinen minimálně do konce roku 20</w:t>
      </w:r>
      <w:r w:rsidR="00782373">
        <w:rPr>
          <w:rFonts w:ascii="Arial" w:hAnsi="Arial" w:cs="Arial"/>
        </w:rPr>
        <w:t>35</w:t>
      </w:r>
      <w:r w:rsidRPr="00782373">
        <w:rPr>
          <w:rFonts w:ascii="Arial" w:hAnsi="Arial" w:cs="Arial"/>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4" w:name="_Hlk189035417"/>
      <w:r w:rsidRPr="00A35763">
        <w:rPr>
          <w:rFonts w:ascii="Arial" w:hAnsi="Arial" w:cs="Arial"/>
        </w:rPr>
        <w:lastRenderedPageBreak/>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59384F3B"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t xml:space="preserve">Za nesplnění kterékoliv povinnosti obsažené </w:t>
      </w:r>
      <w:r>
        <w:rPr>
          <w:rFonts w:ascii="Arial" w:hAnsi="Arial" w:cs="Arial"/>
        </w:rPr>
        <w:t xml:space="preserve">v </w:t>
      </w:r>
      <w:r w:rsidRPr="008A5CB0">
        <w:rPr>
          <w:rFonts w:ascii="Arial" w:hAnsi="Arial" w:cs="Arial"/>
        </w:rPr>
        <w:t xml:space="preserve">odstavcích č. </w:t>
      </w:r>
      <w:r w:rsidR="006D664D" w:rsidRPr="008A5CB0">
        <w:rPr>
          <w:rFonts w:ascii="Arial" w:hAnsi="Arial" w:cs="Arial"/>
        </w:rPr>
        <w:t>12</w:t>
      </w:r>
      <w:r w:rsidRPr="008A5CB0">
        <w:rPr>
          <w:rFonts w:ascii="Arial" w:hAnsi="Arial" w:cs="Arial"/>
        </w:rPr>
        <w:t>.</w:t>
      </w:r>
      <w:r w:rsidR="008A5CB0" w:rsidRPr="008A5CB0">
        <w:rPr>
          <w:rFonts w:ascii="Arial" w:hAnsi="Arial" w:cs="Arial"/>
        </w:rPr>
        <w:t>5</w:t>
      </w:r>
      <w:r w:rsidRPr="008A5CB0">
        <w:rPr>
          <w:rFonts w:ascii="Arial" w:hAnsi="Arial" w:cs="Arial"/>
        </w:rPr>
        <w:t xml:space="preserve">, </w:t>
      </w:r>
      <w:r w:rsidR="006D664D" w:rsidRPr="008A5CB0">
        <w:rPr>
          <w:rFonts w:ascii="Arial" w:hAnsi="Arial" w:cs="Arial"/>
        </w:rPr>
        <w:t>12</w:t>
      </w:r>
      <w:r w:rsidRPr="008A5CB0">
        <w:rPr>
          <w:rFonts w:ascii="Arial" w:hAnsi="Arial" w:cs="Arial"/>
        </w:rPr>
        <w:t>.</w:t>
      </w:r>
      <w:r w:rsidR="008A5CB0" w:rsidRPr="008A5CB0">
        <w:rPr>
          <w:rFonts w:ascii="Arial" w:hAnsi="Arial" w:cs="Arial"/>
        </w:rPr>
        <w:t>6</w:t>
      </w:r>
      <w:r w:rsidRPr="008A5CB0">
        <w:rPr>
          <w:rFonts w:ascii="Arial" w:hAnsi="Arial" w:cs="Arial"/>
        </w:rPr>
        <w:t>,</w:t>
      </w:r>
      <w:r w:rsidR="004E2764" w:rsidRPr="008A5CB0">
        <w:rPr>
          <w:rFonts w:ascii="Arial" w:hAnsi="Arial" w:cs="Arial"/>
        </w:rPr>
        <w:t xml:space="preserve"> </w:t>
      </w:r>
      <w:r w:rsidR="00AA5943" w:rsidRPr="008A5CB0">
        <w:rPr>
          <w:rFonts w:ascii="Arial" w:hAnsi="Arial" w:cs="Arial"/>
        </w:rPr>
        <w:t>12.</w:t>
      </w:r>
      <w:r w:rsidR="008A5CB0" w:rsidRPr="008A5CB0">
        <w:rPr>
          <w:rFonts w:ascii="Arial" w:hAnsi="Arial" w:cs="Arial"/>
        </w:rPr>
        <w:t>7</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4"/>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nabývá platnosti dnem podpisu a účinnosti dnem uveřejnění v informačním systému veřejné </w:t>
      </w:r>
      <w:proofErr w:type="gramStart"/>
      <w:r w:rsidRPr="00A35763">
        <w:rPr>
          <w:rFonts w:ascii="Arial" w:hAnsi="Arial" w:cs="Arial"/>
        </w:rPr>
        <w:t>správy - Registru</w:t>
      </w:r>
      <w:proofErr w:type="gramEnd"/>
      <w:r w:rsidRPr="00A35763">
        <w:rPr>
          <w:rFonts w:ascii="Arial" w:hAnsi="Arial" w:cs="Arial"/>
        </w:rPr>
        <w:t xml:space="preserve">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7366FEA7" w:rsidR="00894182" w:rsidRPr="00A35763" w:rsidRDefault="003A0FA1" w:rsidP="00965E45">
      <w:pPr>
        <w:spacing w:after="0" w:line="276" w:lineRule="auto"/>
        <w:jc w:val="both"/>
        <w:rPr>
          <w:rFonts w:ascii="Arial" w:hAnsi="Arial" w:cs="Arial"/>
        </w:rPr>
      </w:pPr>
      <w:r w:rsidRPr="00A35763">
        <w:rPr>
          <w:rFonts w:ascii="Arial" w:hAnsi="Arial" w:cs="Arial"/>
        </w:rPr>
        <w:t>V</w:t>
      </w:r>
      <w:r w:rsidR="00171827">
        <w:rPr>
          <w:rFonts w:ascii="Arial" w:hAnsi="Arial" w:cs="Arial"/>
        </w:rPr>
        <w:t> Havlíčkově Brodě</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389A14B2" w14:textId="77777777" w:rsidR="008A5CB0" w:rsidRDefault="008A5CB0" w:rsidP="00965E45">
      <w:pPr>
        <w:spacing w:after="0" w:line="276" w:lineRule="auto"/>
        <w:jc w:val="both"/>
        <w:rPr>
          <w:rFonts w:ascii="Arial" w:hAnsi="Arial" w:cs="Arial"/>
        </w:rPr>
      </w:pPr>
    </w:p>
    <w:p w14:paraId="58339A73" w14:textId="77777777" w:rsidR="00171827" w:rsidRDefault="00171827" w:rsidP="00965E45">
      <w:pPr>
        <w:spacing w:after="0" w:line="276" w:lineRule="auto"/>
        <w:jc w:val="both"/>
        <w:rPr>
          <w:rFonts w:ascii="Arial" w:hAnsi="Arial" w:cs="Arial"/>
        </w:rPr>
      </w:pPr>
    </w:p>
    <w:p w14:paraId="749EE2B6" w14:textId="77777777" w:rsidR="008A5CB0" w:rsidRPr="00A35763" w:rsidRDefault="008A5CB0" w:rsidP="00965E45">
      <w:pPr>
        <w:spacing w:after="0" w:line="276" w:lineRule="auto"/>
        <w:jc w:val="both"/>
        <w:rPr>
          <w:rFonts w:ascii="Arial" w:hAnsi="Arial" w:cs="Arial"/>
        </w:rPr>
      </w:pPr>
    </w:p>
    <w:p w14:paraId="05BA6841" w14:textId="77777777" w:rsidR="008A5CB0" w:rsidRPr="0095525E" w:rsidRDefault="008A5CB0" w:rsidP="008A5CB0">
      <w:pPr>
        <w:spacing w:after="0" w:line="276" w:lineRule="auto"/>
        <w:jc w:val="both"/>
        <w:rPr>
          <w:rFonts w:ascii="Arial" w:hAnsi="Arial" w:cs="Arial"/>
        </w:rPr>
      </w:pPr>
      <w:r w:rsidRPr="0095525E">
        <w:rPr>
          <w:rFonts w:ascii="Arial" w:hAnsi="Arial" w:cs="Arial"/>
        </w:rPr>
        <w:t>Nemocnice Havlíčkův Brod, příspěvková organizace</w:t>
      </w:r>
      <w:r w:rsidRPr="0095525E">
        <w:rPr>
          <w:rFonts w:ascii="Arial" w:hAnsi="Arial" w:cs="Arial"/>
        </w:rPr>
        <w:tab/>
      </w:r>
      <w:r w:rsidRPr="0095525E">
        <w:rPr>
          <w:rFonts w:ascii="Arial" w:hAnsi="Arial" w:cs="Arial"/>
        </w:rPr>
        <w:tab/>
      </w:r>
      <w:r w:rsidRPr="0095525E">
        <w:rPr>
          <w:rFonts w:ascii="Arial" w:hAnsi="Arial" w:cs="Arial"/>
        </w:rPr>
        <w:tab/>
      </w:r>
      <w:r w:rsidRPr="0095525E">
        <w:rPr>
          <w:rFonts w:ascii="Arial" w:hAnsi="Arial" w:cs="Arial"/>
        </w:rPr>
        <w:tab/>
      </w:r>
      <w:r w:rsidRPr="0095525E">
        <w:rPr>
          <w:rFonts w:ascii="Arial" w:hAnsi="Arial" w:cs="Arial"/>
        </w:rPr>
        <w:tab/>
      </w:r>
    </w:p>
    <w:p w14:paraId="5B3E28FA" w14:textId="77777777" w:rsidR="008A5CB0" w:rsidRPr="0095525E" w:rsidRDefault="008A5CB0" w:rsidP="008A5CB0">
      <w:pPr>
        <w:spacing w:after="0" w:line="276" w:lineRule="auto"/>
        <w:jc w:val="both"/>
        <w:rPr>
          <w:rFonts w:ascii="Arial" w:hAnsi="Arial" w:cs="Arial"/>
          <w:b/>
        </w:rPr>
      </w:pPr>
      <w:r w:rsidRPr="0095525E">
        <w:rPr>
          <w:rStyle w:val="FontStyle19"/>
          <w:b w:val="0"/>
          <w:bCs/>
          <w:sz w:val="22"/>
        </w:rPr>
        <w:t xml:space="preserve">Mgr. David </w:t>
      </w:r>
      <w:proofErr w:type="spellStart"/>
      <w:r w:rsidRPr="0095525E">
        <w:rPr>
          <w:rStyle w:val="FontStyle19"/>
          <w:b w:val="0"/>
          <w:bCs/>
          <w:sz w:val="22"/>
        </w:rPr>
        <w:t>Rezničenko</w:t>
      </w:r>
      <w:proofErr w:type="spellEnd"/>
      <w:r w:rsidRPr="0095525E">
        <w:rPr>
          <w:rStyle w:val="FontStyle19"/>
          <w:b w:val="0"/>
          <w:bCs/>
          <w:sz w:val="22"/>
        </w:rPr>
        <w:t>, MHA, ředitel</w:t>
      </w:r>
      <w:r w:rsidRPr="0095525E">
        <w:rPr>
          <w:rFonts w:ascii="Arial" w:hAnsi="Arial" w:cs="Arial"/>
          <w:b/>
        </w:rPr>
        <w:tab/>
      </w:r>
      <w:r w:rsidRPr="0095525E">
        <w:rPr>
          <w:rFonts w:ascii="Arial" w:hAnsi="Arial" w:cs="Arial"/>
          <w:b/>
        </w:rPr>
        <w:tab/>
      </w:r>
      <w:r w:rsidRPr="0095525E">
        <w:rPr>
          <w:rFonts w:ascii="Arial" w:hAnsi="Arial" w:cs="Arial"/>
          <w:b/>
        </w:rPr>
        <w:tab/>
      </w:r>
      <w:r w:rsidRPr="0095525E">
        <w:rPr>
          <w:rFonts w:ascii="Arial" w:hAnsi="Arial" w:cs="Arial"/>
          <w:b/>
        </w:rPr>
        <w:tab/>
      </w:r>
      <w:r w:rsidRPr="0095525E">
        <w:rPr>
          <w:rFonts w:ascii="Arial" w:hAnsi="Arial" w:cs="Arial"/>
          <w:b/>
        </w:rPr>
        <w:tab/>
      </w:r>
      <w:r w:rsidRPr="0095525E">
        <w:rPr>
          <w:rFonts w:ascii="Arial" w:hAnsi="Arial" w:cs="Arial"/>
          <w:b/>
        </w:rPr>
        <w:tab/>
      </w:r>
    </w:p>
    <w:p w14:paraId="7AB6F4D4" w14:textId="77777777" w:rsidR="008A5CB0" w:rsidRPr="00311FF9" w:rsidRDefault="008A5CB0" w:rsidP="008A5CB0">
      <w:pPr>
        <w:spacing w:after="0" w:line="276" w:lineRule="auto"/>
        <w:jc w:val="both"/>
        <w:rPr>
          <w:rFonts w:ascii="Arial" w:hAnsi="Arial" w:cs="Arial"/>
          <w:i/>
        </w:rPr>
      </w:pPr>
      <w:r w:rsidRPr="00311FF9">
        <w:rPr>
          <w:rFonts w:ascii="Arial" w:hAnsi="Arial" w:cs="Arial"/>
          <w:i/>
        </w:rPr>
        <w:t>podepsáno elektronicky</w:t>
      </w:r>
    </w:p>
    <w:p w14:paraId="01B20E2A" w14:textId="77777777" w:rsidR="006D664D" w:rsidRDefault="006D664D" w:rsidP="006D664D">
      <w:pPr>
        <w:spacing w:after="0" w:line="276" w:lineRule="auto"/>
        <w:jc w:val="both"/>
        <w:rPr>
          <w:rFonts w:ascii="Arial" w:hAnsi="Arial" w:cs="Arial"/>
        </w:rPr>
      </w:pPr>
    </w:p>
    <w:p w14:paraId="26D61FD3" w14:textId="77777777" w:rsidR="006D664D" w:rsidRDefault="006D664D" w:rsidP="006D664D">
      <w:pPr>
        <w:spacing w:after="0" w:line="276" w:lineRule="auto"/>
        <w:jc w:val="both"/>
        <w:rPr>
          <w:rFonts w:ascii="Arial" w:hAnsi="Arial" w:cs="Arial"/>
        </w:rPr>
      </w:pPr>
    </w:p>
    <w:p w14:paraId="7F8FAED4" w14:textId="77777777" w:rsidR="006D664D" w:rsidRPr="00A35763" w:rsidRDefault="006D664D" w:rsidP="006D664D">
      <w:pPr>
        <w:spacing w:after="0" w:line="276" w:lineRule="auto"/>
        <w:jc w:val="both"/>
        <w:rPr>
          <w:rFonts w:ascii="Arial" w:hAnsi="Arial" w:cs="Arial"/>
        </w:rPr>
      </w:pPr>
    </w:p>
    <w:p w14:paraId="4632EF4E" w14:textId="4C0C1D0C" w:rsidR="006D664D" w:rsidRPr="009A1DE9" w:rsidRDefault="006D664D" w:rsidP="006D664D">
      <w:pPr>
        <w:spacing w:after="0" w:line="276" w:lineRule="auto"/>
        <w:jc w:val="both"/>
        <w:rPr>
          <w:rFonts w:ascii="Arial" w:hAnsi="Arial" w:cs="Arial"/>
        </w:rPr>
      </w:pPr>
      <w:r w:rsidRPr="009A1DE9">
        <w:rPr>
          <w:rFonts w:ascii="Arial" w:hAnsi="Arial" w:cs="Arial"/>
        </w:rPr>
        <w:t>V</w:t>
      </w:r>
      <w:r>
        <w:rPr>
          <w:rFonts w:ascii="Arial" w:hAnsi="Arial" w:cs="Arial"/>
        </w:rPr>
        <w:t> </w:t>
      </w:r>
      <w:r>
        <w:rPr>
          <w:rStyle w:val="FontStyle19"/>
          <w:b w:val="0"/>
          <w:bCs/>
          <w:sz w:val="22"/>
        </w:rPr>
        <w:t xml:space="preserve">Jihlavě                                                                             </w:t>
      </w:r>
    </w:p>
    <w:p w14:paraId="2B135994" w14:textId="77777777" w:rsidR="006D664D" w:rsidRDefault="006D664D" w:rsidP="006D664D">
      <w:pPr>
        <w:spacing w:after="0" w:line="276" w:lineRule="auto"/>
        <w:jc w:val="both"/>
        <w:rPr>
          <w:rFonts w:ascii="Arial" w:hAnsi="Arial" w:cs="Arial"/>
        </w:rPr>
      </w:pPr>
    </w:p>
    <w:p w14:paraId="20605F3B" w14:textId="77777777" w:rsidR="006D664D" w:rsidRDefault="006D664D" w:rsidP="006D664D">
      <w:pPr>
        <w:spacing w:after="0" w:line="276" w:lineRule="auto"/>
        <w:jc w:val="both"/>
        <w:rPr>
          <w:rFonts w:ascii="Arial" w:hAnsi="Arial" w:cs="Arial"/>
        </w:rPr>
      </w:pPr>
    </w:p>
    <w:p w14:paraId="2C321375" w14:textId="77777777" w:rsidR="006D664D" w:rsidRDefault="006D664D" w:rsidP="006D664D">
      <w:pPr>
        <w:spacing w:after="0" w:line="276" w:lineRule="auto"/>
        <w:jc w:val="both"/>
        <w:rPr>
          <w:rFonts w:ascii="Arial" w:hAnsi="Arial" w:cs="Arial"/>
        </w:rPr>
      </w:pPr>
    </w:p>
    <w:p w14:paraId="18212BC0" w14:textId="77777777" w:rsidR="006D664D" w:rsidRDefault="006D664D" w:rsidP="006D664D">
      <w:pPr>
        <w:spacing w:after="0" w:line="276" w:lineRule="auto"/>
        <w:jc w:val="both"/>
        <w:rPr>
          <w:rFonts w:ascii="Arial" w:hAnsi="Arial" w:cs="Arial"/>
        </w:rPr>
      </w:pPr>
    </w:p>
    <w:p w14:paraId="7043C274" w14:textId="77777777" w:rsidR="008A5CB0" w:rsidRDefault="008A5CB0" w:rsidP="006D664D">
      <w:pPr>
        <w:spacing w:after="0" w:line="276" w:lineRule="auto"/>
        <w:jc w:val="both"/>
        <w:rPr>
          <w:rFonts w:ascii="Arial" w:hAnsi="Arial" w:cs="Arial"/>
        </w:rPr>
      </w:pPr>
    </w:p>
    <w:p w14:paraId="4CE8AA3A" w14:textId="753D4856" w:rsidR="006D664D" w:rsidRPr="00171827" w:rsidRDefault="006D664D" w:rsidP="00171827">
      <w:pPr>
        <w:pStyle w:val="Bezmezer"/>
        <w:rPr>
          <w:rFonts w:ascii="Arial" w:hAnsi="Arial" w:cs="Arial"/>
        </w:rPr>
      </w:pPr>
      <w:r w:rsidRPr="00171827">
        <w:rPr>
          <w:rFonts w:ascii="Arial" w:hAnsi="Arial" w:cs="Arial"/>
        </w:rPr>
        <w:t xml:space="preserve">Aricoma Systems a.s.                                                         </w:t>
      </w:r>
    </w:p>
    <w:p w14:paraId="14D748CB" w14:textId="655B7B5A" w:rsidR="006D664D" w:rsidRPr="00171827" w:rsidRDefault="006D664D" w:rsidP="00171827">
      <w:pPr>
        <w:pStyle w:val="Bezmezer"/>
        <w:rPr>
          <w:rFonts w:ascii="Arial" w:hAnsi="Arial" w:cs="Arial"/>
        </w:rPr>
      </w:pPr>
      <w:r w:rsidRPr="00171827">
        <w:rPr>
          <w:rFonts w:ascii="Arial" w:hAnsi="Arial" w:cs="Arial"/>
        </w:rPr>
        <w:t xml:space="preserve">Ing. Jaroslav Dvořák                                                           </w:t>
      </w:r>
    </w:p>
    <w:p w14:paraId="22103F6E" w14:textId="4869B3AA" w:rsidR="006D664D" w:rsidRPr="00171827" w:rsidRDefault="006D664D" w:rsidP="00171827">
      <w:pPr>
        <w:pStyle w:val="Bezmezer"/>
        <w:rPr>
          <w:rFonts w:ascii="Arial" w:hAnsi="Arial" w:cs="Arial"/>
        </w:rPr>
      </w:pPr>
      <w:r w:rsidRPr="00171827">
        <w:rPr>
          <w:rFonts w:ascii="Arial" w:hAnsi="Arial" w:cs="Arial"/>
        </w:rPr>
        <w:t xml:space="preserve">člen představenstva                                                            </w:t>
      </w:r>
    </w:p>
    <w:p w14:paraId="645E34D4" w14:textId="0508976F" w:rsidR="006D664D" w:rsidRPr="009A1DE9" w:rsidRDefault="006D664D" w:rsidP="00171827">
      <w:pPr>
        <w:pStyle w:val="Bezmezer"/>
        <w:rPr>
          <w:i/>
          <w:iCs/>
        </w:rPr>
      </w:pPr>
      <w:r w:rsidRPr="00171827">
        <w:rPr>
          <w:rFonts w:ascii="Arial" w:hAnsi="Arial" w:cs="Arial"/>
          <w:i/>
          <w:iCs/>
        </w:rPr>
        <w:t>podepsáno elektronicky</w:t>
      </w:r>
      <w:r w:rsidRPr="0095499F">
        <w:rPr>
          <w:i/>
          <w:iCs/>
        </w:rPr>
        <w:t xml:space="preserve">                                                      </w:t>
      </w:r>
    </w:p>
    <w:p w14:paraId="551091AA" w14:textId="77777777" w:rsidR="00315115" w:rsidRDefault="00315115" w:rsidP="00965E45">
      <w:pPr>
        <w:spacing w:after="0" w:line="276" w:lineRule="auto"/>
        <w:jc w:val="both"/>
        <w:rPr>
          <w:rFonts w:ascii="Arial" w:hAnsi="Arial" w:cs="Arial"/>
        </w:rPr>
      </w:pPr>
    </w:p>
    <w:p w14:paraId="26F8604C" w14:textId="77777777" w:rsidR="00DE0F78" w:rsidRDefault="00DE0F78" w:rsidP="00965E45">
      <w:pPr>
        <w:spacing w:after="0" w:line="276" w:lineRule="auto"/>
        <w:jc w:val="both"/>
        <w:rPr>
          <w:rFonts w:ascii="Arial" w:hAnsi="Arial" w:cs="Arial"/>
        </w:rPr>
      </w:pPr>
    </w:p>
    <w:p w14:paraId="22B863A4" w14:textId="77777777" w:rsidR="00DE0F78" w:rsidRDefault="00DE0F78" w:rsidP="00965E45">
      <w:pPr>
        <w:spacing w:after="0" w:line="276" w:lineRule="auto"/>
        <w:jc w:val="both"/>
        <w:rPr>
          <w:rFonts w:ascii="Arial" w:hAnsi="Arial" w:cs="Arial"/>
        </w:rPr>
      </w:pPr>
    </w:p>
    <w:p w14:paraId="466FB22A" w14:textId="77777777" w:rsidR="00DE0F78" w:rsidRDefault="00DE0F78" w:rsidP="00965E45">
      <w:pPr>
        <w:spacing w:after="0" w:line="276" w:lineRule="auto"/>
        <w:jc w:val="both"/>
        <w:rPr>
          <w:rFonts w:ascii="Arial" w:hAnsi="Arial" w:cs="Arial"/>
        </w:rPr>
      </w:pPr>
    </w:p>
    <w:p w14:paraId="5A9A0403" w14:textId="77777777" w:rsidR="00DE0F78" w:rsidRDefault="00DE0F78" w:rsidP="00965E45">
      <w:pPr>
        <w:spacing w:after="0" w:line="276" w:lineRule="auto"/>
        <w:jc w:val="both"/>
        <w:rPr>
          <w:rFonts w:ascii="Arial" w:hAnsi="Arial" w:cs="Arial"/>
        </w:rPr>
      </w:pPr>
    </w:p>
    <w:p w14:paraId="3D592EAF" w14:textId="77777777" w:rsidR="00DE0F78" w:rsidRDefault="00DE0F78" w:rsidP="00965E45">
      <w:pPr>
        <w:spacing w:after="0" w:line="276" w:lineRule="auto"/>
        <w:jc w:val="both"/>
        <w:rPr>
          <w:rFonts w:ascii="Arial" w:hAnsi="Arial" w:cs="Arial"/>
        </w:rPr>
      </w:pPr>
    </w:p>
    <w:p w14:paraId="180D8557" w14:textId="77777777" w:rsidR="00DE0F78" w:rsidRDefault="00DE0F78" w:rsidP="00965E45">
      <w:pPr>
        <w:spacing w:after="0" w:line="276" w:lineRule="auto"/>
        <w:jc w:val="both"/>
        <w:rPr>
          <w:rFonts w:ascii="Arial" w:hAnsi="Arial" w:cs="Arial"/>
        </w:rPr>
      </w:pPr>
    </w:p>
    <w:p w14:paraId="5EC4879C" w14:textId="77777777" w:rsidR="00DE0F78" w:rsidRDefault="00DE0F78" w:rsidP="00965E45">
      <w:pPr>
        <w:spacing w:after="0" w:line="276" w:lineRule="auto"/>
        <w:jc w:val="both"/>
        <w:rPr>
          <w:rFonts w:ascii="Arial" w:hAnsi="Arial" w:cs="Arial"/>
        </w:rPr>
      </w:pPr>
    </w:p>
    <w:p w14:paraId="125FB2EF" w14:textId="77777777" w:rsidR="00DE0F78" w:rsidRDefault="00DE0F78" w:rsidP="00965E45">
      <w:pPr>
        <w:spacing w:after="0" w:line="276" w:lineRule="auto"/>
        <w:jc w:val="both"/>
        <w:rPr>
          <w:rFonts w:ascii="Arial" w:hAnsi="Arial" w:cs="Arial"/>
        </w:rPr>
      </w:pPr>
    </w:p>
    <w:p w14:paraId="1446EA55" w14:textId="77777777" w:rsidR="00DE0F78" w:rsidRDefault="00DE0F78" w:rsidP="00965E45">
      <w:pPr>
        <w:spacing w:after="0" w:line="276" w:lineRule="auto"/>
        <w:jc w:val="both"/>
        <w:rPr>
          <w:rFonts w:ascii="Arial" w:hAnsi="Arial" w:cs="Arial"/>
        </w:rPr>
      </w:pPr>
    </w:p>
    <w:p w14:paraId="1856487D" w14:textId="77777777" w:rsidR="00DE0F78" w:rsidRDefault="00DE0F78" w:rsidP="00965E45">
      <w:pPr>
        <w:spacing w:after="0" w:line="276" w:lineRule="auto"/>
        <w:jc w:val="both"/>
        <w:rPr>
          <w:rFonts w:ascii="Arial" w:hAnsi="Arial" w:cs="Arial"/>
        </w:rPr>
      </w:pPr>
    </w:p>
    <w:p w14:paraId="2E2FA384" w14:textId="77777777" w:rsidR="0095499F" w:rsidRDefault="0095499F" w:rsidP="00965E45">
      <w:pPr>
        <w:spacing w:after="0" w:line="276" w:lineRule="auto"/>
        <w:jc w:val="both"/>
        <w:rPr>
          <w:rFonts w:ascii="Arial" w:hAnsi="Arial" w:cs="Arial"/>
        </w:rPr>
      </w:pPr>
    </w:p>
    <w:p w14:paraId="592E1AFA" w14:textId="77777777" w:rsidR="0095499F" w:rsidRDefault="0095499F" w:rsidP="00965E45">
      <w:pPr>
        <w:spacing w:after="0" w:line="276" w:lineRule="auto"/>
        <w:jc w:val="both"/>
        <w:rPr>
          <w:rFonts w:ascii="Arial" w:hAnsi="Arial" w:cs="Arial"/>
        </w:rPr>
      </w:pPr>
    </w:p>
    <w:p w14:paraId="6C3276B7" w14:textId="77777777" w:rsidR="0095499F" w:rsidRDefault="0095499F" w:rsidP="00965E45">
      <w:pPr>
        <w:spacing w:after="0" w:line="276" w:lineRule="auto"/>
        <w:jc w:val="both"/>
        <w:rPr>
          <w:rFonts w:ascii="Arial" w:hAnsi="Arial" w:cs="Arial"/>
        </w:rPr>
      </w:pPr>
    </w:p>
    <w:p w14:paraId="3492D03D" w14:textId="77777777" w:rsidR="0095499F" w:rsidRDefault="0095499F" w:rsidP="00965E45">
      <w:pPr>
        <w:spacing w:after="0" w:line="276" w:lineRule="auto"/>
        <w:jc w:val="both"/>
        <w:rPr>
          <w:rFonts w:ascii="Arial" w:hAnsi="Arial" w:cs="Arial"/>
        </w:rPr>
      </w:pPr>
    </w:p>
    <w:p w14:paraId="11933C2A" w14:textId="77777777" w:rsidR="0095499F" w:rsidRDefault="0095499F" w:rsidP="00965E45">
      <w:pPr>
        <w:spacing w:after="0" w:line="276" w:lineRule="auto"/>
        <w:jc w:val="both"/>
        <w:rPr>
          <w:rFonts w:ascii="Arial" w:hAnsi="Arial" w:cs="Arial"/>
        </w:rPr>
      </w:pPr>
    </w:p>
    <w:p w14:paraId="0921C385" w14:textId="77777777" w:rsidR="0095499F" w:rsidRDefault="0095499F" w:rsidP="00965E45">
      <w:pPr>
        <w:spacing w:after="0" w:line="276" w:lineRule="auto"/>
        <w:jc w:val="both"/>
        <w:rPr>
          <w:rFonts w:ascii="Arial" w:hAnsi="Arial" w:cs="Arial"/>
        </w:rPr>
      </w:pPr>
    </w:p>
    <w:p w14:paraId="656FFDE1" w14:textId="77777777" w:rsidR="0095499F" w:rsidRDefault="0095499F" w:rsidP="00965E45">
      <w:pPr>
        <w:spacing w:after="0" w:line="276" w:lineRule="auto"/>
        <w:jc w:val="both"/>
        <w:rPr>
          <w:rFonts w:ascii="Arial" w:hAnsi="Arial" w:cs="Arial"/>
        </w:rPr>
      </w:pPr>
    </w:p>
    <w:p w14:paraId="7CCE3477" w14:textId="77777777" w:rsidR="0095499F" w:rsidRDefault="0095499F" w:rsidP="00965E45">
      <w:pPr>
        <w:spacing w:after="0" w:line="276" w:lineRule="auto"/>
        <w:jc w:val="both"/>
        <w:rPr>
          <w:rFonts w:ascii="Arial" w:hAnsi="Arial" w:cs="Arial"/>
        </w:rPr>
      </w:pPr>
    </w:p>
    <w:p w14:paraId="0ECC6DFD" w14:textId="77777777" w:rsidR="0095499F" w:rsidRDefault="0095499F" w:rsidP="00965E45">
      <w:pPr>
        <w:spacing w:after="0" w:line="276" w:lineRule="auto"/>
        <w:jc w:val="both"/>
        <w:rPr>
          <w:rFonts w:ascii="Arial" w:hAnsi="Arial" w:cs="Arial"/>
        </w:rPr>
      </w:pPr>
    </w:p>
    <w:p w14:paraId="6F9B1164" w14:textId="77777777" w:rsidR="008A5CB0" w:rsidRDefault="008A5CB0" w:rsidP="00965E45">
      <w:pPr>
        <w:spacing w:after="0" w:line="276" w:lineRule="auto"/>
        <w:jc w:val="both"/>
        <w:rPr>
          <w:rFonts w:ascii="Arial" w:hAnsi="Arial" w:cs="Arial"/>
        </w:rPr>
      </w:pPr>
    </w:p>
    <w:p w14:paraId="72D1CDF9" w14:textId="77777777" w:rsidR="008A5CB0" w:rsidRDefault="008A5CB0" w:rsidP="00965E45">
      <w:pPr>
        <w:spacing w:after="0" w:line="276" w:lineRule="auto"/>
        <w:jc w:val="both"/>
        <w:rPr>
          <w:rFonts w:ascii="Arial" w:hAnsi="Arial" w:cs="Arial"/>
        </w:rPr>
      </w:pPr>
    </w:p>
    <w:p w14:paraId="5D79979E" w14:textId="77777777" w:rsidR="008A5CB0" w:rsidRDefault="008A5CB0" w:rsidP="00965E45">
      <w:pPr>
        <w:spacing w:after="0" w:line="276" w:lineRule="auto"/>
        <w:jc w:val="both"/>
        <w:rPr>
          <w:rFonts w:ascii="Arial" w:hAnsi="Arial" w:cs="Arial"/>
        </w:rPr>
      </w:pPr>
    </w:p>
    <w:p w14:paraId="5F3A14F4" w14:textId="7287C410" w:rsidR="0095499F" w:rsidRDefault="0095499F" w:rsidP="00965E45">
      <w:pPr>
        <w:spacing w:after="0" w:line="276" w:lineRule="auto"/>
        <w:jc w:val="both"/>
        <w:rPr>
          <w:rFonts w:ascii="Arial" w:hAnsi="Arial" w:cs="Arial"/>
        </w:rPr>
      </w:pPr>
      <w:r>
        <w:rPr>
          <w:rFonts w:ascii="Arial" w:hAnsi="Arial" w:cs="Arial"/>
        </w:rPr>
        <w:t>Příloha č. 1 Smlouvy</w:t>
      </w:r>
    </w:p>
    <w:p w14:paraId="5DBCEF4B" w14:textId="77777777" w:rsidR="00171827" w:rsidRDefault="00171827" w:rsidP="00965E45">
      <w:pPr>
        <w:spacing w:after="0" w:line="276" w:lineRule="auto"/>
        <w:jc w:val="both"/>
        <w:rPr>
          <w:rFonts w:ascii="Arial" w:hAnsi="Arial" w:cs="Arial"/>
        </w:rPr>
      </w:pPr>
    </w:p>
    <w:p w14:paraId="6C9224D6" w14:textId="531217D1" w:rsidR="00171827" w:rsidRDefault="00171827" w:rsidP="00965E45">
      <w:pPr>
        <w:spacing w:after="0" w:line="276" w:lineRule="auto"/>
        <w:jc w:val="both"/>
        <w:rPr>
          <w:rFonts w:ascii="Arial" w:hAnsi="Arial" w:cs="Arial"/>
          <w:noProof/>
        </w:rPr>
      </w:pPr>
      <w:r>
        <w:rPr>
          <w:rFonts w:ascii="Arial" w:hAnsi="Arial" w:cs="Arial"/>
        </w:rPr>
        <w:t xml:space="preserve"> </w:t>
      </w:r>
      <w:r w:rsidRPr="00171827">
        <w:rPr>
          <w:rFonts w:ascii="Arial" w:hAnsi="Arial" w:cs="Arial"/>
          <w:noProof/>
        </w:rPr>
        <w:drawing>
          <wp:inline distT="0" distB="0" distL="0" distR="0" wp14:anchorId="5E577DC5" wp14:editId="194D40E6">
            <wp:extent cx="5138180" cy="4402455"/>
            <wp:effectExtent l="0" t="0" r="5715" b="0"/>
            <wp:docPr id="13219208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0427" cy="4404380"/>
                    </a:xfrm>
                    <a:prstGeom prst="rect">
                      <a:avLst/>
                    </a:prstGeom>
                    <a:noFill/>
                    <a:ln>
                      <a:noFill/>
                    </a:ln>
                  </pic:spPr>
                </pic:pic>
              </a:graphicData>
            </a:graphic>
          </wp:inline>
        </w:drawing>
      </w:r>
    </w:p>
    <w:p w14:paraId="47286EF8" w14:textId="529EBBD1" w:rsidR="00171827" w:rsidRPr="00171827" w:rsidRDefault="00171827" w:rsidP="00171827">
      <w:pPr>
        <w:rPr>
          <w:rFonts w:ascii="Arial" w:hAnsi="Arial" w:cs="Arial"/>
        </w:rPr>
      </w:pPr>
      <w:r>
        <w:rPr>
          <w:rFonts w:ascii="Arial" w:hAnsi="Arial" w:cs="Arial"/>
        </w:rPr>
        <w:t xml:space="preserve"> </w:t>
      </w:r>
      <w:r w:rsidRPr="00171827">
        <w:rPr>
          <w:rFonts w:ascii="Arial" w:hAnsi="Arial" w:cs="Arial"/>
          <w:noProof/>
        </w:rPr>
        <w:drawing>
          <wp:inline distT="0" distB="0" distL="0" distR="0" wp14:anchorId="32B49BC1" wp14:editId="7BE4F6B1">
            <wp:extent cx="5137785" cy="3076894"/>
            <wp:effectExtent l="0" t="0" r="5715" b="9525"/>
            <wp:docPr id="196241785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4724" cy="3081049"/>
                    </a:xfrm>
                    <a:prstGeom prst="rect">
                      <a:avLst/>
                    </a:prstGeom>
                    <a:noFill/>
                    <a:ln>
                      <a:noFill/>
                    </a:ln>
                  </pic:spPr>
                </pic:pic>
              </a:graphicData>
            </a:graphic>
          </wp:inline>
        </w:drawing>
      </w:r>
    </w:p>
    <w:sectPr w:rsidR="00171827" w:rsidRPr="00171827" w:rsidSect="00B32978">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0BCC"/>
    <w:rsid w:val="00171659"/>
    <w:rsid w:val="00171827"/>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52B3"/>
    <w:rsid w:val="004C7FE6"/>
    <w:rsid w:val="004D2682"/>
    <w:rsid w:val="004D37FB"/>
    <w:rsid w:val="004D50B2"/>
    <w:rsid w:val="004E2764"/>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68D7"/>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373"/>
    <w:rsid w:val="00782FEC"/>
    <w:rsid w:val="00783424"/>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A5CB0"/>
    <w:rsid w:val="008B109B"/>
    <w:rsid w:val="008B7386"/>
    <w:rsid w:val="008C735A"/>
    <w:rsid w:val="008D3979"/>
    <w:rsid w:val="008D3F0C"/>
    <w:rsid w:val="008D749E"/>
    <w:rsid w:val="008E36AF"/>
    <w:rsid w:val="008E66D1"/>
    <w:rsid w:val="008E7507"/>
    <w:rsid w:val="008F005C"/>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5127"/>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5453"/>
    <w:rsid w:val="00F9263E"/>
    <w:rsid w:val="00F93AB2"/>
    <w:rsid w:val="00F93EB0"/>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 w:type="character" w:styleId="Siln">
    <w:name w:val="Strong"/>
    <w:basedOn w:val="Standardnpsmoodstavce"/>
    <w:uiPriority w:val="22"/>
    <w:qFormat/>
    <w:rsid w:val="007823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407EAE"/>
    <w:rsid w:val="0041346A"/>
    <w:rsid w:val="0041414F"/>
    <w:rsid w:val="004274D3"/>
    <w:rsid w:val="00497820"/>
    <w:rsid w:val="004E3180"/>
    <w:rsid w:val="005600D2"/>
    <w:rsid w:val="005768AA"/>
    <w:rsid w:val="005E109A"/>
    <w:rsid w:val="006010E0"/>
    <w:rsid w:val="0066121C"/>
    <w:rsid w:val="00696A9D"/>
    <w:rsid w:val="006D2EE3"/>
    <w:rsid w:val="00700D4E"/>
    <w:rsid w:val="00713B88"/>
    <w:rsid w:val="007C3DA2"/>
    <w:rsid w:val="007D6080"/>
    <w:rsid w:val="007E67C4"/>
    <w:rsid w:val="008331F2"/>
    <w:rsid w:val="008616CD"/>
    <w:rsid w:val="008D3F0C"/>
    <w:rsid w:val="008F005C"/>
    <w:rsid w:val="008F6333"/>
    <w:rsid w:val="009638EC"/>
    <w:rsid w:val="009A2138"/>
    <w:rsid w:val="00A12BE5"/>
    <w:rsid w:val="00A42255"/>
    <w:rsid w:val="00AC0732"/>
    <w:rsid w:val="00AC3514"/>
    <w:rsid w:val="00B35127"/>
    <w:rsid w:val="00B921B0"/>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11</Pages>
  <Words>4213</Words>
  <Characters>24861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46</cp:revision>
  <cp:lastPrinted>2025-07-01T08:10:00Z</cp:lastPrinted>
  <dcterms:created xsi:type="dcterms:W3CDTF">2020-03-18T10:49:00Z</dcterms:created>
  <dcterms:modified xsi:type="dcterms:W3CDTF">2025-07-01T08:11:00Z</dcterms:modified>
</cp:coreProperties>
</file>